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2" w:rsidRDefault="003C3D22" w:rsidP="003C3D22">
      <w:pPr>
        <w:shd w:val="clear" w:color="auto" w:fill="EAE6EE"/>
        <w:spacing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</w:pPr>
      <w:r w:rsidRPr="003C3D22"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>Выставочная деятельность библиотеки:</w:t>
      </w:r>
      <w:r w:rsidRPr="003C3D22"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br/>
        <w:t>Сохранение традиций и новации</w:t>
      </w:r>
    </w:p>
    <w:p w:rsidR="002225F6" w:rsidRDefault="002225F6" w:rsidP="003C3D22">
      <w:pPr>
        <w:shd w:val="clear" w:color="auto" w:fill="EAE6EE"/>
        <w:spacing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</w:pPr>
    </w:p>
    <w:p w:rsidR="002225F6" w:rsidRPr="003C3D22" w:rsidRDefault="002225F6" w:rsidP="002225F6">
      <w:pPr>
        <w:shd w:val="clear" w:color="auto" w:fill="EAE6EE"/>
        <w:spacing w:after="15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>Докладчик – Мо</w:t>
      </w:r>
      <w:r w:rsidR="006732FA"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 xml:space="preserve">сковская Наталья Владимировна - </w:t>
      </w:r>
      <w:r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 xml:space="preserve">кандидат искусствоведения, режиссёр, куратор проекта передвижных выставок «Творчество Ильи Глазунова детям и юношеству Подмосковья», </w:t>
      </w:r>
      <w:proofErr w:type="gramStart"/>
      <w:r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3B217A"/>
          <w:kern w:val="36"/>
          <w:sz w:val="27"/>
          <w:szCs w:val="27"/>
          <w:lang w:eastAsia="ru-RU"/>
        </w:rPr>
        <w:t>. Москва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  <w:t>Алгоритм создания библиотечной выставки: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val="en-US" w:eastAsia="ru-RU"/>
        </w:rPr>
        <w:t>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 1. Определение, уточнение и согласование темы, целевого и читательского назначения. С нашей точки зрения, эти три основополагающих компонента необходимо разрабатывать в комплексе.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2. Предварительное знакомство с темой, определение направления поиска, примерного круга источников и вероятной структуры выставки — как правило, это осуществляется библиотекарем интуитивно.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3.  Выявление методических рекомендаций, библиографических указателей по теме выставки и просмотр вышеуказанных вторичных источников информации.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4.  Выявление источников по СБА библиотеки и подбор выявленной литературы в фонде - это, как правило, также неразрывный процесс.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5. Просмотр, отбор и группировка литературы в соответствии со структурой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6. Определение названий разделов, заголовка, подбор цитат, иллюстраций, предметной среды.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7.  Оформление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8.  Реклама выставки внешняя и внутренняя.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9.  </w:t>
      </w:r>
      <w:proofErr w:type="spell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Докомплектование</w:t>
      </w:r>
      <w:proofErr w:type="spell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10. Учет эффективности библиотечной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 Библиографическое обеспечение библиотечной выставки включает библиографические списки литературы, списки Интернет-сайтов по теме, фактографическую информацию, представленную в виде дополнительной информации, в т.ч. даты жизни писателей, цифровая информация. К библиографическому обеспечению относятся разделы каталогов и картотек, в которых осуществляется отбор документов по теме, вопросу.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Выставки как средства доведения информации до читателей по форме бывают достаточно многообразны. В последние годы активизировался творческий потенциал библиотечных работников, и появились на свет новые виды и формы библиотечных выставок, в специальной печати приводятся многочисленные примеры творческого подхода к организации выставок.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Невозможно перечислить все формы, т.к. библиотечные работники проявляют максимум творчества, внося каждый раз что-то новое, стараясь максимально отвечать интересам и потребностям своих читателей. Представим лишь некоторые формы.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  <w:t>Нетрадиционные формы библиотечных выставок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  <w:t>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вернисаж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 (видеоряд,  художественной школы,  живописного жанра, репродукций) предполагает демонстрацию картин или репродукций. Вернисаж сопровождается экспозицией литературы о художниках – авторах, творчестве  местных художников, о данном направлении в искусстве, больше площади для экспонирования работ, использование  света, цитат, антуража. Сложность  данной выставки – в разнообразии иллюстративного материала, способности библиотекаря используя драпировки сохранить индивидуальность каждой иллюстрации.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 </w:t>
      </w: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викторина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 (конкурс, игра, загадка)  предполагает наличие вопросов викторины и экспозицию литературы, с помощью которой   читателю предлагается ответить на вопросы этой 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lastRenderedPageBreak/>
        <w:t>викторины. Вопросы должны быть разной категории сложности, учитывающие категорию читателей   на которую рассчитана выставка. Должно присутствовать обращение к читателю с приглашением принять участие в викторине. Можно использовать выставку – викторину для рекламы библиотечных  услуг:  указать, что литературу по теме выставки можно получить на дом (где и на каких условиях),  информировать о наличии сценариев мероприятий по данной теме,  дать заявки на проведение следующей выставки – викторины и т.д.  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 </w:t>
      </w: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диалог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:  Диалог двух точек зрения, двух авторов. Представляется литература авторов с диаметральн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о-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противоположными точками зрения по данной теме, вопросу, проблеме. Читатели могут выразить свое мнение по данному вопросу с помощью карандаша и бумаги, которые располагаются рядом с выставкой.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 </w:t>
      </w: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витрина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. Аналог - витрина магазина. Здесь демонстрируются предметы (товары) и литература о них. Например, выставка к празднику 8 Марта "Аромат женщины": демонстрируются флакончики из-под духов, литература об ароматах, журнальные публикации о новых тенденциях в мире запахов, литература о косметике и т.п. Другой пример: выставка "Зеленая аптека", где экспонируются коробочки с лекарственными растениями и литература о них.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вопрос.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 В заголовке выставки содержится вопрос, на который дается ответ с помощью литературы, представленной на выставке. "Есть ли жизнь на Марсе?"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-в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ыставка, посвященная проблемам планет Солнечной системы и т. д.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- декорация.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Является основой и естественной декорацией массового мероприятия в библиотеке. На их фоне мероприятие проводят, с них берут в ходе действия книги и предметы, к ним обращаются; они могут жить и после массового мероприятия как самостоятельная выставка.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диорама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 выделяющая  часть из целого, в названии и оформлении это должно отражаться. Например: «Сталинградская битва на фоне Великой Отечественной войны», «Импрессионизм как направление искусства ХХ века». В оформлении выставки должны соблюдаться следующие тенденции: либо сначала  обозначается проблема в целом, а затем рассматривается и раскрывается более узкая тема, либо это может быть оформлено в обратном порядке.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 </w:t>
      </w: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досье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 представляет собой выставку   документов, свидетельств, произведений по какому-либо делу или вопросу. С их помощью читателю предоставляется   возможность  самостоятельно определить свою позицию  и оценку.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импульс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 должна побуждать к действию и начинаться  словами                «Остановись», «Берегись…», «Не навреди…» и т.д. Материалы, представленные на выставке, должны также носить эмоциональный, яркий, неординарный характер.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</w:t>
      </w: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коллаж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 – главное назначение  ее – привлечение внимания читателей. Она носит скорее рекламно – информационный характер. Берется тема широкого плана, например «Я молодой». В рамках  оформленного  коллажа  группируются 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отдельные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смысловые </w:t>
      </w:r>
      <w:proofErr w:type="spell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подтемы</w:t>
      </w:r>
      <w:proofErr w:type="spell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 (мода, увлечение музыкой и т.д.) Нет четкой структуры с разделами. Широко привлекается иллюстративный материал. Выставка должна быть  ярко и со вкусом оформлена. Внутри тематических  групп или рядом с выставкой может располагаться информация, объявления, ссылки на литературу, анонсы, информация о новых изданиях, поступивших в библиотеку.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кроссворд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. "Тихая" выставка, для молчунов. Носит досугово-просветительский характер. В основе ее - кроссворд (увеличенный), ответы на который можно найти в представленной на выставке литературе. Для удобства читателей можно сделать ксерокопии кроссворда. Первый отгадавший получает сувенир.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портрет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. Выставка-персоналия, посвященная человеку, личности, или же одному произведению искусства. В этом случае демонстрируется репродукция, а также материалы о художнике, герое портрета, судьбе картины и т.д.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приманка.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Выставка в окнах библиотеки. Например, выставка новых книг. Широко используется на Западе как дополнительный способ "заманить" читателя в библиотеку.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развал.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Эта выставка - замена книжного развала у кафедры выдачи, в котором так любят копаться читатели. Пример: "Бестселлеры наших читателей".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lastRenderedPageBreak/>
        <w:t>Выставка – размышление 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(раздумье) предполагает: - тему интересную для читателей  определенной группы  молодежь  или широкой аудитории, -  наличие множества или двух разных точек зрения по данному вопросу, теме. Представляется литература по  существующим точкам зрения, - наличие текстового обращения к читателям, предлагающее принять участие  в обсуждении этого вопроса, темы. Можно сделать цветные индикаторы различных точек зрения, которые читатель выставка предваряет проведение библиотечного мероприятия по данной теме. Наиболее глобальные, актуальные темы выставок рекламируются в средствах массовой информации.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Выставка – сюрприз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. С маленьким, недорогим, но приятным презентом, который посетитель выставки уносит с собой. Например, выставка ко Дню Святого Валентина сопровождалась вырезанными из цветной бумаги сердечками с пожеланиями на обороте.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i/>
          <w:iCs/>
          <w:color w:val="3B217A"/>
          <w:sz w:val="20"/>
          <w:szCs w:val="20"/>
          <w:u w:val="single"/>
          <w:lang w:eastAsia="ru-RU"/>
        </w:rPr>
        <w:t>Экспресс – выставка</w:t>
      </w: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– это внеплановая оперативная выставка, связанная с возникновением актуальной темы, книги, статьи, интересной публикации. По форме может быть любой, главное привлечение внимания. Заголовки могут быть такими: «Обратите внимание!», «Горячая тема!».             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            Кроме этого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возможны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: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Выставка – антология; Выставка – альманах; Выставка – дайджест; Выставка – диспут (дискуссия, спор, полемика); Выставка – дилемма (выбор из двух возможностей); Выставка – икебана; Выставка – калейдоскоп;  Выставка – календарь (дата); Выставка – карта;  Выставка – контраст; Выставка – краеведческий срез; Выставка – знакомство (представление); Выставка  - мемуарных публикаций (жанровая, воспоминание); Выставка – панорама; Выставка – призыв (лозунг); Выставка – просмотр; Выставка – путешествие; Выставка – рейтинг;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Выставка – реклама; Выставка – репортаж; Выставка - ретроспектива; Выставка – символ; Выставка – словарь (азбука, букварь); Выставка – совет (рекомендация);  Выставка – хобби (увлечение, коллекция); Выставка – хроника (хронология событий);  Выставка – чествование (юбилей, признание, посвящение); Выставка  газетной полосы; Выставка рубрики и т.д.</w:t>
      </w:r>
      <w:proofErr w:type="gramEnd"/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Выбор формы книжной выставки не самоцель, а способ эффективно раскрыть содержание темы.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  <w:t>Рекламно-информационная поддержка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Включает создание сообщений и публикаций. В зависимости от целей рекламное сообщение о выставке может быть внутренним (для пользователей библиотеки) или внешним, ориентированным на потенциальных пользователей. Наиболее распространенная форма рекламного сообщения о выставках  - объявления, реклама в СМИ, в организациях и для групп читателей.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Форма рекламного сообщения в данном случае  направлена на эмоциональную сторону воздействия, и обусловлена особенностями рекламируемой выставки. Целесообразно такое решение графического, шрифтового, иллюстративного и цветового оформления сообщения, которое будет соответствовать дизайну выставки, ее типу.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Публичные библиотеки активно используют возможности местных периодических изданий.  Как правило, в средствах массовой информации публикуется косвенная реклама в форме статей и заметок об открытии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При составлении рекламного сообщения следует обратить внимание на следующие моменты: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   Если вы хотите добиться положительного воздействия, в тексте не должно встречаться частиц, выполняющих функцию отрицания («не» и «ни»).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   Фотографии более убедительны, нежели рисунки.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   Воздействие на человека должно быть избирательным: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- рациональные аргументы применяются, когда делается упор на свойства услуги (выставки);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- эмоциональность и   экспрессивность рекламного сообщения обращена к чувствам.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   Текст должен быть простым, интересным, оригинальным, но не экстравагантным,   должен содержать проникающие в сознание ключевые слова, повторяющие одну и ту же  мысль.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   Сообщение должно быть по возможности кратким.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lastRenderedPageBreak/>
        <w:t>•   Слова должны вызывать положительные ассоциации, создавать хорошее настроение; захватывать внимание и удерживать до конца сообщения.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</w:t>
      </w:r>
    </w:p>
    <w:p w:rsidR="003C3D22" w:rsidRDefault="003C3D22" w:rsidP="003C3D22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</w:pPr>
    </w:p>
    <w:p w:rsidR="003C3D22" w:rsidRDefault="003C3D22" w:rsidP="003C3D22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</w:pPr>
    </w:p>
    <w:p w:rsidR="003C3D22" w:rsidRPr="003C3D22" w:rsidRDefault="003C3D22" w:rsidP="003C3D22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bookmarkStart w:id="0" w:name="_GoBack"/>
      <w:bookmarkEnd w:id="0"/>
      <w:r w:rsidRPr="003C3D22">
        <w:rPr>
          <w:rFonts w:ascii="Arial" w:eastAsia="Times New Roman" w:hAnsi="Arial" w:cs="Arial"/>
          <w:b/>
          <w:bCs/>
          <w:i/>
          <w:iCs/>
          <w:color w:val="3B217A"/>
          <w:sz w:val="20"/>
          <w:szCs w:val="20"/>
          <w:lang w:eastAsia="ru-RU"/>
        </w:rPr>
        <w:t>Учёт эффективности выставки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 Эффективность выставочной деятельности библиотек во многом  обусловлена четким читательским адресом, актуальностью тематики библиотечных выставок, неординарностью подходов к раскрытию проблематики выставки, а также отбором литературы.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            Оценка эффективности библиотечных выставок обычно осуществляется путем подсчета экспонируемых и выданных с выставки документов. В листе ежедневного статистического учета и, соответственно, в дневнике учета работы отмечаются документы, взятые читателями с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Для художественных выставок характерно ведение книги или тетради отзывов (копия, как правило, остается в библиотеке, а оригинал передают автору представленных работ).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Существуют специальные методы изучения эффективности выставок.  В настоящее время в библиотековедческих исследованиях обращается внимание на отношение пользователей к библиотеке, к отдельным методам работы. Используются методики опроса, анкетирования. Это достаточно эффективно, так как позволяет выявить спектр отношений к разнообразным выставкам, учесть предложения и пожелания читателей.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Большой объем информации дает метод наблюдения. Его преимущество заключается в том, что при грамотном применении он не требует много времени. Этим может заниматься библиотекарь отдела обслуживания. Разрабатывается таблица наблюдения. В горизонтальной части «шапки» выделяются единицы наблюдения. Ими являются различные    виды    отношений    читателей    к    выставке.    Они    могут располагаться по степени возрастания интереса к ней.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 Прошел мимо, не обратил внимания.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 Прошел мимо, но обратил внимание.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 Подошел к выставке, посмотрел, отошел.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 Подошел к выставке, посмотрел отдельные книги.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• Посмотрел выставку, взял книгу для записи в свой формуляр.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Каждый  читатель,   проходивший  мимо  выставки,   фиксируется  в соответствии со своим отношением к ней. Библиотекарь в конце своего периода наблюдения составляет отчет о том, что, на его взгляд, вызывало наибольший интерес у читателей: оформление, тема, отдельные книги, иллюстрации и т. д. В конце периода наблюдения подводятся итоги, что позволяет судить о качестве подготовки выставки.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При организации выставок встает вопрос о сроках их экспонирования. Классический подход: - по времени действия можно выделить выставки постоянные и эпизодические. </w:t>
      </w:r>
      <w:proofErr w:type="gram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Постоянные</w:t>
      </w:r>
      <w:proofErr w:type="gram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сохраняют свое значение в течение длительного срока, эпизодические носят кратковременный характер. Срок их действия не превышает 20-25 дней. Вместе с тем, анализ практики работы библиотек показывает, что единого методического решения не существует.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Библиотекари дифференцированно подходят к каждому отдельному случаю. Например, выставки к знаменательным датам организуются, как правило, за десять дней, за неделю до события в расчете на то, что материал может понадобиться тем, кто готовит беседы, доклады, рефераты (это могут быть педагоги, студенты, учащиеся и т. д.). Завершают экспонирование выставки при потере к ней интереса или когда основная литература со стендов выдана читателям.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В одной из своих работ В. И. </w:t>
      </w:r>
      <w:proofErr w:type="spellStart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Терешин</w:t>
      </w:r>
      <w:proofErr w:type="spellEnd"/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 xml:space="preserve"> высказал мнение, что выставки на абонементе следует соотносить со сроками выдачи литературы на дом. Как правило, это 15 дней. Аккуратные читатели имеют возможность, приходя в библиотеку, каждый раз знакомиться с новыми выставками. На наш взгляд, это разумное предложение, которое можно взять за основу. Однако каждый отдельный случай требует индивидуального подхода.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t>Таким образом, технология выставочной деятельности – это совокупность процессов и операций, обеспечивающих качество и эффективность библиотечных выставок.</w:t>
      </w:r>
    </w:p>
    <w:p w:rsidR="003C3D22" w:rsidRPr="003C3D22" w:rsidRDefault="003C3D22" w:rsidP="003C3D22">
      <w:pPr>
        <w:shd w:val="clear" w:color="auto" w:fill="EAE6EE"/>
        <w:spacing w:after="0" w:line="270" w:lineRule="atLeast"/>
        <w:ind w:firstLine="708"/>
        <w:jc w:val="both"/>
        <w:rPr>
          <w:rFonts w:ascii="Arial" w:eastAsia="Times New Roman" w:hAnsi="Arial" w:cs="Arial"/>
          <w:color w:val="3B217A"/>
          <w:sz w:val="20"/>
          <w:szCs w:val="20"/>
          <w:lang w:eastAsia="ru-RU"/>
        </w:rPr>
      </w:pPr>
      <w:r w:rsidRPr="003C3D22">
        <w:rPr>
          <w:rFonts w:ascii="Arial" w:eastAsia="Times New Roman" w:hAnsi="Arial" w:cs="Arial"/>
          <w:color w:val="3B217A"/>
          <w:sz w:val="20"/>
          <w:szCs w:val="20"/>
          <w:lang w:eastAsia="ru-RU"/>
        </w:rPr>
        <w:lastRenderedPageBreak/>
        <w:t>Хорошо подготовленная и организованная выставка – это произведение библиотечного искусства, плод научных и творческих изысканий, результат  вдохновенной работы. Она должна способствовать  формированию положительного имиджа библиотеки.</w:t>
      </w:r>
    </w:p>
    <w:p w:rsidR="00352EC8" w:rsidRDefault="00352EC8"/>
    <w:sectPr w:rsidR="00352EC8" w:rsidSect="008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1E8"/>
    <w:rsid w:val="002225F6"/>
    <w:rsid w:val="002471E8"/>
    <w:rsid w:val="00352EC8"/>
    <w:rsid w:val="003A496E"/>
    <w:rsid w:val="003C3D22"/>
    <w:rsid w:val="006732FA"/>
    <w:rsid w:val="008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123</cp:lastModifiedBy>
  <cp:revision>4</cp:revision>
  <dcterms:created xsi:type="dcterms:W3CDTF">2017-09-19T15:05:00Z</dcterms:created>
  <dcterms:modified xsi:type="dcterms:W3CDTF">2017-09-27T06:12:00Z</dcterms:modified>
</cp:coreProperties>
</file>